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14/2026., п. 16</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17А/2026</w:t>
      </w:r>
    </w:p>
    <w:p>
      <w:pPr>
        <w:spacing w:after="40"/>
      </w:pPr>
      <w:r>
        <w:rPr>
          <w:rFonts w:ascii="Inter" w:hAnsi="Inter"/>
          <w:b/>
          <w:color w:val="8B8171"/>
          <w:sz w:val="18"/>
        </w:rPr>
        <w:t xml:space="preserve">Применённые нормы: </w:t>
      </w:r>
      <w:r>
        <w:rPr>
          <w:rFonts w:ascii="Inter" w:hAnsi="Inter"/>
          <w:color w:val="655D50"/>
          <w:sz w:val="18"/>
        </w:rPr>
        <w:t>статьи 10, 13 Федерального закона «О противодействии коррупции», статьи 13, 14 Федерального закона «О противодействии коррупции», подпункт 8 пункта 2 статьи 235 ГК РФ</w:t>
      </w:r>
    </w:p>
    <w:p>
      <w:pPr>
        <w:spacing w:after="40"/>
      </w:pPr>
      <w:r>
        <w:rPr>
          <w:rFonts w:ascii="Inter" w:hAnsi="Inter"/>
          <w:b/>
          <w:color w:val="8B8171"/>
          <w:sz w:val="18"/>
        </w:rPr>
        <w:t xml:space="preserve">Теги: </w:t>
      </w:r>
      <w:r>
        <w:rPr>
          <w:rFonts w:ascii="Inter" w:hAnsi="Inter"/>
          <w:color w:val="655D50"/>
          <w:sz w:val="18"/>
        </w:rPr>
        <w:t>гражданско-правовая ответственность за коррупционное правонарушение, выгодоприобретатели от коррупции, взятка, обращение доходов в доход РФ, круг субъектов ответственности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К гражданско-правовой ответственности за нарушение требований законодательства Российской Федерации о противодействии коррупции могут быть привлечены не только лица, замещающие (замещавшие) публично значимые должности, но и физические и юридические     лица,     участвовавшие     в     коррупционном правонарушении. Прокурор в интересах Российской Федерации обратился в суд с требованиями к К., хозяйственному обществу об обращении в доход Российской Федерации денежных средств, полученных в результате совершения коррупционного правонарушения. Удовлетворяя исковые требования, суд исходил из следующего. По смыслу положений статей 10, 13 Федерального закона «О противодействии      коррупции»    к   числу    выгодоприобретателей от коррупционной деятельности относятся в том числе граждане и организации, связанные с должностным лицом имущественными, корпоративными или иными отношениями. При этом, как следует из статей 13, 14 Федерального закона «О противодействии      коррупции»,    положения     указанного   закона распространяются не только на лиц, замещающих публично значимые должности в органах власти, но и на физических и юридических лиц, которые в случае совершения коррупционного правонарушения привлекаются к уголовной, гражданско-правовой или иной ответственности в соответствии с законодательством. Таким образом, круг лиц, которые могут быть привлечены к гражданско-правовой ответственности, не определяется в системе действующего законодательства Российской Федерации каким-либо перечнем, а напрямую зависит от факта совершения или участия в совершении тем или иным физическим или юридическим лицом коррупционного правонарушения. Вступившим в законную силу приговором суда установлен факт получения Б. от учредителя хозяйственного общества К. взятки за заключение между филиалом федерального государственного унитарного предприятия и данным обществом договоров субаренды недвижимого имущества в целях дальнейшего установления банковских терминалов оплаты. Признав, что в результате коррупционного правонарушения К. получил доступ к государственному имуществу и прибыль в виде комиссии за совершенные операции по приему и переводу денежных средств, суд на основании положений подпункта 8 пункта 2 статьи 235 ГК РФ взыскал с него в доход Российской Федерации данное незаконное обогащение.</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14/2026. О рассмотрении судами дел, связанных с применением законодательства о противодействии коррупции и обращением в доход Российской Федерации имущества, приобретенного в результате нарушения требований и запретов, направленных на предотвращение коррупции", п. 16</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14/2026., п. 16</dc:title>
  <dc:subject/>
  <dc:creator>CasusLegal</dc:creator>
  <cp:keywords/>
  <dc:description/>
  <cp:lastModifiedBy>CasusLegal</cp:lastModifiedBy>
  <cp:revision>1</cp:revision>
  <dcterms:created xsi:type="dcterms:W3CDTF">2026-07-21T21:39:20Z</dcterms:created>
  <dcterms:modified xsi:type="dcterms:W3CDTF">2026-07-21T21:39:20Z</dcterms:modified>
  <cp:category/>
</cp:coreProperties>
</file>