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14/2026., п. 9</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17А/2026</w:t>
      </w:r>
    </w:p>
    <w:p>
      <w:pPr>
        <w:spacing w:after="40"/>
      </w:pPr>
      <w:r>
        <w:rPr>
          <w:rFonts w:ascii="Inter" w:hAnsi="Inter"/>
          <w:b/>
          <w:color w:val="8B8171"/>
          <w:sz w:val="18"/>
        </w:rPr>
        <w:t xml:space="preserve">Применённые нормы: </w:t>
      </w:r>
      <w:r>
        <w:rPr>
          <w:rFonts w:ascii="Inter" w:hAnsi="Inter"/>
          <w:color w:val="655D50"/>
          <w:sz w:val="18"/>
        </w:rPr>
        <w:t>пункты 2, 3 части 3 статьи 121 Федерального закона «О противодействии коррупции», пункт 4 части 1 статьи 131 Федерального закона «О противодействии коррупции»</w:t>
      </w:r>
    </w:p>
    <w:p>
      <w:pPr>
        <w:spacing w:after="40"/>
      </w:pPr>
      <w:r>
        <w:rPr>
          <w:rFonts w:ascii="Inter" w:hAnsi="Inter"/>
          <w:b/>
          <w:color w:val="8B8171"/>
          <w:sz w:val="18"/>
        </w:rPr>
        <w:t xml:space="preserve">Теги: </w:t>
      </w:r>
      <w:r>
        <w:rPr>
          <w:rFonts w:ascii="Inter" w:hAnsi="Inter"/>
          <w:color w:val="655D50"/>
          <w:sz w:val="18"/>
        </w:rPr>
        <w:t>запрет на предпринимательскую деятельность, утрата доверия, глава сельского поселения, несоблюдение ограничений и запретов, досрочное прекращение полномочий</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Осуществление лицом, замещающим государственную (муниципальную)      должность      на      постоянной       основе, предпринимательской деятельности является основанием для досрочного прекращения его полномочий в связи с утратой доверия. Прокурор обратился в суд с административным исковым заявлением, в котором просил признать незаконным решение совета депутатов сельского поселения об отказе в удовлетворении представления о досрочном прекращении полномочий председателя совета депутатов сельского поселения П. в связи с утратой ею доверия за несоблюдение ограничений, запретов, установленных Федеральным законом «О противодействии коррупции», выразившееся в осуществлении П. предпринимательской деятельности, и досрочно прекратить ее полномочия. Разрешая административные исковые требования, суд исходил из следующего. В соответствии с пунктами 2, 3 части 3 статьи 121 Федерального закона «О противодействии коррупции»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 заниматься предпринимательской деятельностью лично или через доверенных лиц; заниматься другой оплачиваемой деятельностью, кроме преподавательской, научной и иной творческой деятельности. При рассмотрении административного дела установлено, что П. 21 сентября 2021 года избрана депутатом представительного органа сельского поселения. Решением представительного органа сельского поселения от 29 сентября 2021 года П. избрана главой сельского поселения. В ходе проведенной прокуратурой проверки выявлен факт осуществления П. в период с декабря 2022 года по сентябрь 2024 года предпринимательской       деятельности,     выразившейся      в    торговле продовольственными и иными товарами в магазине, исполнении обязанностей бухгалтера, а также получении денежных средств, вырученных за продажу товаров. При этом здание магазина и земельный участок под ним находились в собственности П. до заключения 12 января 2023 года договора купли-продажи недвижимого имущества между П. и ее сыном А. С учетом этого суд, исходя из положений пункта 4 части 1 статьи 13 1 Федерального закона «О противодействии коррупции», пришел к выводу о наличии оснований для прекращения полномочий П. в связи с утратой доверия и удовлетворил административные исковые требования прокурора.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14/2026. О рассмотрении судами дел, связанных с применением законодательства о противодействии коррупции и обращением в доход Российской Федерации имущества, приобретенного в результате нарушения требований и запретов, направленных на предотвращение коррупции", п. 9</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14/2026., п. 9</dc:title>
  <dc:subject/>
  <dc:creator>CasusLegal</dc:creator>
  <cp:keywords/>
  <dc:description/>
  <cp:lastModifiedBy>CasusLegal</cp:lastModifiedBy>
  <cp:revision>1</cp:revision>
  <dcterms:created xsi:type="dcterms:W3CDTF">2026-07-21T21:37:14Z</dcterms:created>
  <dcterms:modified xsi:type="dcterms:W3CDTF">2026-07-21T21:37:14Z</dcterms:modified>
  <cp:category/>
</cp:coreProperties>
</file>