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Тематический обзор Верховного Суда Российской Федерации № 14/2026., п. 8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Верховный Суд РФ (Президиум, обзор)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01.07.2026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17А/2026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Применённые нормы: </w:t>
      </w:r>
      <w:r>
        <w:rPr>
          <w:rFonts w:ascii="Inter" w:hAnsi="Inter"/>
          <w:color w:val="655D50"/>
          <w:sz w:val="18"/>
        </w:rPr>
        <w:t>статья 12 Федерального закона «О противодействии коррупции», часть 1 статьи 12 Федерального закона «О противодействии коррупции», часть 31 статьи 17 Федерального закона «О государственной гражданской службе Российской Федерации», часть первая статьи 641 ТК РФ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ограничения после увольнения с госслужбы, трудоустройство бывшего государственного служащего, согласие комиссии по урегулированию конфликта интересов, функции государственного управления, конфликт интересов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Гражданин,   замещавший    должность    государственной гражданской службы, в течение двух лет после увольнения с этой службы вправе заключить трудовой договор с организацией (работодателем), в отношении которой им осуществлялись отдельные функции     государственного  управления,   только    с   согласия соответствующей комиссии по соблюдению требований к служебному поведению государственных служащих и урегулированию конфликта интересов. З. обратился в суд с иском к территориальному управлению Федерального агентства железнодорожного транспорта (далее – Росжелдор) о признании незаконным и об отмене решения комиссии по соблюдению требований к служебному поведению государственных гражданских служащих и урегулированию конфликта интересов, которым замещение З. на условиях трудового договора должности ведущего инженера сектора безопасности дирекции инфраструктуры в акционерном обществе до истечения двух лет со дня увольнения с должности государственной гражданской службы признано нарушающим требования статьи 12 Федерального закона «О противодействии коррупции». Судом установлено, что на дату увольнения З. с должности специалиста-эксперта отдела транспортной безопасности территориального управления Росжелдора названная должность в течение восьми лет была Указанные положения Федерального закона «Об общих принципах организации местного самоуправления в Российской Федерации» утратили силу. В настоящее время аналогичные положения содержатся в части 5 статьи 28, частях 1 и 10 статьи 29 Федерального закона от 20 марта 2025 года № 33-ФЗ «Об общих принципах организации местного самоуправления в единой системе публичной власти». включена в соответствующий перечень должностей,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 (далее в этом пункте – перечень). В период прохождения государственной гражданской службы З. осуществлял в отношении указанного акционерного общества функции государственного управления (подготовка свидетельств об аттестации лиц, ответственных за транспортную безопасность, утверждение результатов оценки уязвимости объектов транспортной инфраструктуры). После увольнения З. с государственной гражданской службы приказом Росжелдора утвержден новый перечень, в котором должность специалиста-эксперта отдела транспортной безопасности территориального управления отсутствует. В силу положений части 31 статьи 17 Федерального закона от 27 июля 2004 года № 79-ФЗ «О государственной гражданской службе Российской Федерации» (далее – Федеральный закон «О государственной гражданской службе Российской Федерации»), части первой статьи 641 ТК РФ, части 1 статьи 12 Федерального закона «О противодействии коррупции» для граждан, ранее замещавших должности государственной службы, при заключении после увольнения с государственной службы трудового договора или     гражданско-правового     договора     установлено     ограничение, заключающееся в том, что гражданин в течение двух лет после увольнения с государственной службы может замещать на условиях трудового договора или гражданско-правового договора должности в коммерческой или некоммерческой организации, если отдельные функции государственного управления данной организацией входили в должностные (служебные) обязанности гражданского служащего, только с согласия соответствующей комиссии по соблюдению требований к служебному поведению государственных служащих и урегулированию конфликта интересов. При этом отсутствие во вновь принятом Росжелдором перечне замещаемой З. до увольнения должности с учетом осуществления им функций государственного управления в отношении акционерного общества не освобождает его от обязанности по обращению в соответствующую комиссию для дачи согласия на заключение трудового договора в течение двух лет после увольнения. Таким образом, З. был вправе заключить трудовой договор с акционерным обществом только с согласия соответствующей комиссии по соблюдению требований к служебному поведению государственных служащих и урегулированию конфликта интересов, которое получено не было.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"Тематический обзор Верховного Суда Российской Федерации № 14/2026. О рассмотрении судами дел, связанных с применением законодательства о противодействии коррупции и обращением в доход Российской Федерации имущества, приобретенного в результате нарушения требований и запретов, направленных на предотвращение коррупции", п. 8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обзор Верховного Суда Российской Федерации № 14/2026., п. 8</dc:title>
  <dc:subject/>
  <dc:creator>CasusLegal</dc:creator>
  <cp:keywords/>
  <dc:description/>
  <cp:lastModifiedBy>CasusLegal</cp:lastModifiedBy>
  <cp:revision>1</cp:revision>
  <dcterms:created xsi:type="dcterms:W3CDTF">2026-07-21T21:14:11Z</dcterms:created>
  <dcterms:modified xsi:type="dcterms:W3CDTF">2026-07-21T21:14:11Z</dcterms:modified>
  <cp:category/>
</cp:coreProperties>
</file>