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часть 2 статьи 10 Федерального закона «О противодействии коррупции», части 1 и 2 статьи 11 Федерального закона «О противодействии коррупции», пункт 1 части 1 статьи 131 Федерального закона «О противодействии коррупции», часть 101 статьи 40 Федерального закона «Об общих принципах организации местного самоуправления в Российской Федерации»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конфликт интересов, личная заинтересованность бывших супругов, утрата доверия, непринятие мер по предотвращению конфликта интересов, глава сельского поселения, председатель совета депутатов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Расторжение брака не исключает возможности возникновения у бывших супругов личной заинтересованности, которая может привести к конфликту интересов. Прокурор обратился в суд с административным исковым заявлением о признании незаконным бездействия совета депутатов сельского поселения, выразившегося в непринятии мер по досрочному прекращению полномочий главы сельского поселения Д. и председателя совета депутатов Т. в связи с утратой доверия и о досрочном прекращении полномочий Д. и Т. Свои требования прокурор мотивировал тем, что Д. и Т. до 2022 года состояли в браке, имеют общих детей и проживают совместно в жилом доме, принадлежащем на праве собственности Т., однако не подали уведомление о возникновении личной заинтересованности, которая приводит или может привести к конфликту интересов. При этом Д., замещавший с 2008 года муниципальную должность главы сельского поселения, в 2023 году на конкурсной основе по результатам открытого голосования большинством голосов депутатов совета депутатов вновь избран главой сельского поселения. Т., замещавшая должность депутата и председателя совета депутатов сельского поселения, была председательствующим на заседании совета депутатов, где разрешался вопрос об избрании главы сельского поселения, представляла кандидатуры, вела протокол заседания и принимала непосредственное участие в голосовании, отдав свой голос за кандидатуру Д. По результатам проверки, в ходе которой были установлены указанные обстоятельства, прокурор обратился в совет депутатов сельского поселения с представлением об устранении нарушений требований законодательства о противодействии коррупции. Решением совета депутатов представление прокурора отклонено по причине отсутствия конфликта интересов между Д. и Т. Разрешая спор и оценивая совокупность представленных в дело доказательств, суд пришел к выводу о том, что Д. и Т. по смыслу части 2 статьи 10 Федерального закона «О противодействии коррупции» являются лицами, связанными имущественными и иными близкими отношениями, что с учетом круга их обязанностей и фактически осуществляемых должностных полномочий предполагает необходимость принятия мер по недопущению любой возможности возникновения конфликта интересов. Однако данные меры ими приняты не были (части 1 и 2 статьи 11 названного федерального закона). С учетом того, что данное обстоятельство является основанием для досрочного прекращения полномочий лица, замещающего муниципальную должность, суд принял решение об удовлетворении требований прокурора (пункт 1 части 1 статьи 131 Федерального закона «О противодействии коррупции», часть 101 статьи 40 Федерального закона «Об общих принципах организации местного самоуправления в Российской Федерации»2).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6</dc:title>
  <dc:subject/>
  <dc:creator>CasusLegal</dc:creator>
  <cp:keywords/>
  <dc:description/>
  <cp:lastModifiedBy>CasusLegal</cp:lastModifiedBy>
  <cp:revision>1</cp:revision>
  <dcterms:created xsi:type="dcterms:W3CDTF">2026-07-21T21:47:44Z</dcterms:created>
  <dcterms:modified xsi:type="dcterms:W3CDTF">2026-07-21T21:47:44Z</dcterms:modified>
  <cp:category/>
</cp:coreProperties>
</file>