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29</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ст. 11 ЛК РФ, ч. 1 ст. 11 ЛК РФ, ч. 8 ст. 11 ЛК РФ, ч. 4 ст. 11 ЛК РФ, ч. 5 ст. 11 ЛК РФ, ч. 2 ст. 38 ЛК РФ, п. 2 ч. 4 ст. 114 ЛК РФ, ч. 4 ст. 36 ЛК РФ, ч. 3 ст. 114 ЛК РФ</w:t>
      </w:r>
    </w:p>
    <w:p>
      <w:pPr>
        <w:spacing w:after="40"/>
      </w:pPr>
      <w:r>
        <w:rPr>
          <w:rFonts w:ascii="Inter" w:hAnsi="Inter"/>
          <w:b/>
          <w:color w:val="8B8171"/>
          <w:sz w:val="18"/>
        </w:rPr>
        <w:t xml:space="preserve">Теги: </w:t>
      </w:r>
      <w:r>
        <w:rPr>
          <w:rFonts w:ascii="Inter" w:hAnsi="Inter"/>
          <w:color w:val="655D50"/>
          <w:sz w:val="18"/>
        </w:rPr>
        <w:t>ограждение лесного участка, свободное пребывание в лесах, рекреационная деятельность, водоохранная зона, проект освоения лесов, запрет огораживания, доступ граждан в лес</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Возведение ограждения лесного участка допускается только в предусмотренных законом случаях при наличии положительного заключения государственной экспертизы проекта освоения лесов. Прокурор в интересах Российской Федерации, субъекта Российской Федерации, неопределенного круга лиц обратился с требованиями к арендатору лесного участка о возложении обязанности демонтировать ограждение. Установлено, что между уполномоченным органом субъекта Российской Федерации и индивидуальным предпринимателем заключен договор аренды лесного участка из категории защитных лесов для осуществления рекреационной деятельности, которым, в частности, предусмотрено право арендатора размещать определенные временные постройки, за исключением устройства изгороди. Проектом освоения лесов, получившим положительное заключение государственной экспертизы, на используемом ответчиком лесном участке также не предусмотрено возведение такого объекта нелесной инфраструктуры, как ограждение. Вместе с тем установлено, что спорный лесной участок, расположенный в водоохранной зоне, по внешнему периметру с трех сторон имеет деревянное ограждение высотой более метра, ограничивающее доступ граждан и проход по нему диких животных. Удовлетворяя заявленные требования, суд исходил из того, что законодатель, устанавливая специальный правовой режим земель лесного фонда, закрепил в статье 11 ЛК РФ как право граждан свободно и бесплатно пребывать в лесах (часть 1), так и гарантии реализации этого права путем установления запрета лицам, которым предоставлены лесные участки, препятствовать доступу граждан на эти лесные участки, а также огораживать их, за исключением случаев, предусмотренных законодательством (часть 8). Допускается возведение ограждения лесных участков, предоставленных для ведения сельского хозяйства, за исключением участков в лесах, расположенных в зеленых зонах (часть 2 статьи 38, пункт 2 части 4 статьи 114 ЛК РФ), предоставленных для осуществления видов деятельности в сфере охотничьего хозяйства (часть 4 статьи 36 ЛК РФ), а также в лесопарковых зонах в целях охраны лесов (часть 3 статьи 114 ЛК РФ). Ограждение лесных участков, предоставленных в целях рекреационной деятельности, лесным законодательством не предусмотрено. Равным образом не установлено судом оснований, предусмотренных законом, при которых в силу частей 4, 5 статьи 11 ЛК РФ возможен запрет или ограничение пребывания граждан на спорном лесном участке. береговой полосы водного объекта общего пользования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29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29</dc:title>
  <dc:subject/>
  <dc:creator>CasusLegal</dc:creator>
  <cp:keywords/>
  <dc:description/>
  <cp:lastModifiedBy>CasusLegal</cp:lastModifiedBy>
  <cp:revision>1</cp:revision>
  <dcterms:created xsi:type="dcterms:W3CDTF">2026-07-21T21:17:41Z</dcterms:created>
  <dcterms:modified xsi:type="dcterms:W3CDTF">2026-07-21T21:17:41Z</dcterms:modified>
  <cp:category/>
</cp:coreProperties>
</file>