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28</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п. 4 ч. 2 ст. 114 ЛК РФ, п. 5 ч. 2 ст. 114 ЛК РФ</w:t>
      </w:r>
    </w:p>
    <w:p>
      <w:pPr>
        <w:spacing w:after="40"/>
      </w:pPr>
      <w:r>
        <w:rPr>
          <w:rFonts w:ascii="Inter" w:hAnsi="Inter"/>
          <w:b/>
          <w:color w:val="8B8171"/>
          <w:sz w:val="18"/>
        </w:rPr>
        <w:t xml:space="preserve">Теги: </w:t>
      </w:r>
      <w:r>
        <w:rPr>
          <w:rFonts w:ascii="Inter" w:hAnsi="Inter"/>
          <w:color w:val="655D50"/>
          <w:sz w:val="18"/>
        </w:rPr>
        <w:t>самовольная постройка, договор аренды лесного участка, существенное нарушение договора, расторжение договора аренды, лесопарковая зона, проект освоения лесов, рекреационная деятельность, разведка и добыча полезных ископаемых</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Возведение на лесном участке объектов капитального строительства, не предусмотренных проектом освоения лесов, получившим положительное заключение государственной экспертизы, является существенным нарушением договора аренды, основанием для его расторжения, приведения лесного участка в первоначальное положение и сноса расположенных на нем самовольных построек. По результатам обследования условий использования лесного участка управление лесами субъекта Российской Федерации выявило объекты, предположительно являющиеся объектами капитального строительства, в которых установлены скважины для добычи природной питьевой воды для розлива. В связи с этим управление обратилось в суд с требованиями признать возведенные на лесном участке строения самовольными постройками, снести их и расторгнуть заключенный с обществом договор аренды участков лесного фонда. Общество заявило к управлению встречные требования об изменении целевого использования лесного участка с категории «защитные леса» на категорию «эксплуатационные леса» и об изменении договора аренды в части указания вида разрешенного использования с «осуществление рекреационной деятельности» на «выполнение работ по геологическому изучению недр, разработка месторождений полезных ископаемых». Суд удовлетворил исковые требования, в удовлетворении встречных требований отказал по следующим основаниям. Арендуемый обществом лесной участок находится в лесопарковой зоне, договор аренды заключен для рекреационных целей, договором установлен запрет на размещение на арендуемом участке объектов капитального строительства. Проектом освоения лесов, получившим положительное заключение государственной     экспертизы,   на   территории    арендуемого     участка предусматривается размещение объектов рекреационной инфраструктуры (временных построек), а также создание объектов лесной инфраструктуры – пункта противопожарного инвентаря и стенда о мерах пожарной безопасности в лесах. Вырубка лесных насаждений для целей размещения планируемых объектов рекреационной и лесной инфраструктуры и для размещения временных построек проектом освоения не предусмотрена. Согласно заключению судебной землеустроительной экспертизы возведенные обществом объекты размещены на лесном участке и имеют признаки недвижимого имущества. В лесах, расположенных в лесопарковых зонах, запрещается разведка и добыча полезных ископаемых (пункт 4 части 2 статьи 114 ЛК РФ), а также размещение    объектов    капитального     строительства,  за   исключением велосипедных, беговых и других дорожек подобного типа и гидротехнических сооружений (пункт 5 части 2 статьи 114 ЛК РФ). Вследствие возведения на территории лесного участка объектов капитального строительства, а также осуществления запрещенной (с учетом целевого назначения и разрешенного вида использования лесного участка, установленных как лесным законодательством, так и условиями договора аренды лесного участка) деятельности по добыче полезных ископаемых обществом допущены грубые нарушения существенных условий договора аренды лесного участка, что является основанием для его расторжения в судебном порядке, приведения лесного участка в первоначальное положение и сноса расположенных на нем самовольных построек.</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28</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28</dc:title>
  <dc:subject/>
  <dc:creator>CasusLegal</dc:creator>
  <cp:keywords/>
  <dc:description/>
  <cp:lastModifiedBy>CasusLegal</cp:lastModifiedBy>
  <cp:revision>1</cp:revision>
  <dcterms:created xsi:type="dcterms:W3CDTF">2026-07-21T21:18:01Z</dcterms:created>
  <dcterms:modified xsi:type="dcterms:W3CDTF">2026-07-21T21:18:01Z</dcterms:modified>
  <cp:category/>
</cp:coreProperties>
</file>