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24</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200 ГК РФ, п. 2 ст. 199 ГК РФ</w:t>
      </w:r>
    </w:p>
    <w:p>
      <w:pPr>
        <w:spacing w:after="40"/>
      </w:pPr>
      <w:r>
        <w:rPr>
          <w:rFonts w:ascii="Inter" w:hAnsi="Inter"/>
          <w:b/>
          <w:color w:val="8B8171"/>
          <w:sz w:val="18"/>
        </w:rPr>
        <w:t xml:space="preserve">Теги: </w:t>
      </w:r>
      <w:r>
        <w:rPr>
          <w:rFonts w:ascii="Inter" w:hAnsi="Inter"/>
          <w:color w:val="655D50"/>
          <w:sz w:val="18"/>
        </w:rPr>
        <w:t>исковая давность, земли лесного фонда, истребование из незаконного владения, многодетная семья, территориальная зона лесничество, течение срока давности для публичного образования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Истечение срока исковой давности по требованиям об оспаривании права на земельный участок по основаниям пересечения его границ с границами земель лесного фонда, о применении которого заявлено ответчиком, является основанием для отказа в иске. Срок исковой давности по требованиям публично-правового образования в лице уполномоченного органа исчисляется со дня, когда о нарушении прав на лесной участок узнало или должно было узнать данное публично-правовое образование в лице соответствующего органа. Уполномоченный орган обратился с требованием к гражданам об оспаривании права собственности на земельный участок, ссылаясь на его незаконное формирование за счет земель лесного фонда. Принимая решение об отказе удовлетворении заявленных требований, суд исходил из того, что спорный земельный участок из категории земель «земли населенных пунктов» с видом разрешенного использования «для ведения личного подсобного хозяйства, индивидуального жилищного строительства» поставлен на кадастровый учет в 2017 году и в том же году решением органа местного самоуправления предоставлен в общую долевую собственность ответчикам как многодетной семье. Право собственности ответчиков на земельный участок зарегистрировано в 2017 году, участок огорожен, освоен, свободен от древесно-кустарниковой     растительности,   на     нем     осуществляется  возведение индивидуального жилого дома. С учетом установленных обстоятельств дела материально-правовой интерес истца направлен на истребование имущества из чужого незаконного владения. К искам об истребовании недвижимого имущества из чужого незаконного владения применяется общий срок исковой давности, исчисляемый со дня, когда публично-правовое образование в лице уполномоченных органов узнало или должно было узнать о нарушении своего права и о том, кто является надлежащим ответчиком по иску о защите этого права (статья 200 ГК РФ). Уполномоченный       орган,   действуя      с    достаточной   степенью осмотрительности, внося в 2019 году в ЕГРН сведения о территориальной зоне «лесничество», мог и должен был узнать о том, что границы земельного участка, принадлежащего ответчикам, имеют пересечение с границами земель лесного фонда. Обращаясь с иском в суд в 2024 году, уполномоченный орган пропустил срок исковой давности, о применении которого заявлено ответчиками, что в силу положений пункта 2 статьи 199 ГК РФ и правовой позиции Конституционного Суда Российской Федерации, изложенной в постановлении от 28 января 2025 года № 3-П, является самостоятельным основанием для отказа в удовлетворении требований.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24</dc:title>
  <dc:subject/>
  <dc:creator>CasusLegal</dc:creator>
  <cp:keywords/>
  <dc:description/>
  <cp:lastModifiedBy>CasusLegal</cp:lastModifiedBy>
  <cp:revision>1</cp:revision>
  <dcterms:created xsi:type="dcterms:W3CDTF">2026-07-21T21:03:09Z</dcterms:created>
  <dcterms:modified xsi:type="dcterms:W3CDTF">2026-07-21T21:03:09Z</dcterms:modified>
  <cp:category/>
</cp:coreProperties>
</file>