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23</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ст. 301 ГК РФ, п. 1 ст. 11.9 ЗК РФ, п. 2 ст. 11.9 ЗК РФ, п. 1 ст. 4 Федерального закона № 101-ФЗ</w:t>
      </w:r>
    </w:p>
    <w:p>
      <w:pPr>
        <w:spacing w:after="40"/>
      </w:pPr>
      <w:r>
        <w:rPr>
          <w:rFonts w:ascii="Inter" w:hAnsi="Inter"/>
          <w:b/>
          <w:color w:val="8B8171"/>
          <w:sz w:val="18"/>
        </w:rPr>
        <w:t xml:space="preserve">Теги: </w:t>
      </w:r>
      <w:r>
        <w:rPr>
          <w:rFonts w:ascii="Inter" w:hAnsi="Inter"/>
          <w:color w:val="655D50"/>
          <w:sz w:val="18"/>
        </w:rPr>
        <w:t>частичное пересечение с землями лесного фонда, раздел земельного участка, предельные размеры земельных участков, истребование из незаконного владения, снос самовольной постройки, земли сельскохозяйственного назначения</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При установлении факта частичного пересечения границ спорного земельного участка с границами земель лесного фонда оценка возможности его раздела или изменения осуществляется с учетом требований о предельных (максимальных и минимальных) размерах образуемых и изменяемых земельных участков. Прокурор обратился с иском в защиту интересов Российской Федерации к гражданину о снятии земельных участков с государственного кадастрового учета, об истребовании их в собственность Российской Федерации из незаконного владения и о возложении на него обязанности освободить спорные земельные участки путем сноса расположенных на них жилых домов. Отменяя судебные акты нижестоящих судов, которыми требования были удовлетворены в полном объеме, и направляя дело на новое рассмотрение, Судебная коллегия Верховного Суда Российской Федерации указала, в частности, следующее. На основании представленных доказательств установлено, что только часть площади спорных земельных участков имеет наложение на земли лесного фонда, а возведенные ответчиком объекты недвижимости (жилые дома) расположены на землях населенных пунктов, что не учтено судами при разрешении спора применительно к положениям статьи 301 ГК РФ. Исходя из обоснования заявленных прокурором требований юридически значимыми и подлежащими выяснению с учетом содержания спорных отношений сторон и подлежащих применению норм материального права обстоятельствами по настоящему делу являлись в том числе определение границ земель лесного фонда, установление факта включения данных земель в спорные земельные участки, выяснение вопроса, на землях какой категории находятся возведенные гражданином объекты недвижимости, а также установление возможности при исключении из границ земельных участков земель лесного фонда образования нового земельного участка (или земельных участков), отвечающего требованиям законодательства. Поскольку судом установлено, что спорные земельные участки только частично расположены на землях лесного фонда, оценка возможности раздела или изменения таких земельных участков должна была производиться с учетом требований положений статьи 119 ЗК РФ, в частности положений пунктов 1 и 2 данной статьи о предельных (максимальных и минимальных) размерах земельных участков. В другом деле, отклоняя доводы ответчика о возможности сохранения за ним права на земельные участки в части отсутствия пересечения их границ с границами земель лесного фонда, суд исходил из того, что в данном случае части спорных земельных участков после исключения из их площади земель лесного фонда не могли быть сформированы в качестве самостоятельных объектов права по причине несоответствия минимально допустимому размеру земельного участка земель сельскохозяйственного назначения, установленному законом субъекта Российской Федерации в соответствии с пунктом 1 статьи 4 Федерального закона от 24 июля 2002 года № 101-ФЗ «Об обороте земель сельскохозяйственного назначения».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23</dc:title>
  <dc:subject/>
  <dc:creator>CasusLegal</dc:creator>
  <cp:keywords/>
  <dc:description/>
  <cp:lastModifiedBy>CasusLegal</cp:lastModifiedBy>
  <cp:revision>1</cp:revision>
  <dcterms:created xsi:type="dcterms:W3CDTF">2026-07-21T21:17:08Z</dcterms:created>
  <dcterms:modified xsi:type="dcterms:W3CDTF">2026-07-21T21:17:08Z</dcterms:modified>
  <cp:category/>
</cp:coreProperties>
</file>