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21</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ч. 6 ст. 46 Закона о введении в действие ЛК РФ, ч. 4 ст. 60.2 Закона о регистрации недвижимости, ч. 3 ст. 14 Закона о переводе земель, ч. 10 ст. 14 Закона о переводе земель</w:t>
      </w:r>
    </w:p>
    <w:p>
      <w:pPr>
        <w:spacing w:after="40"/>
      </w:pPr>
      <w:r>
        <w:rPr>
          <w:rFonts w:ascii="Inter" w:hAnsi="Inter"/>
          <w:b/>
          <w:color w:val="8B8171"/>
          <w:sz w:val="18"/>
        </w:rPr>
        <w:t xml:space="preserve">Теги: </w:t>
      </w:r>
      <w:r>
        <w:rPr>
          <w:rFonts w:ascii="Inter" w:hAnsi="Inter"/>
          <w:color w:val="655D50"/>
          <w:sz w:val="18"/>
        </w:rPr>
        <w:t>наложение на земли лесного фонда, добросовестный приобретатель, признание права отсутствующим, приоритет сведений ЕГРН, приусадебный участок, отсутствие лесных насаждений, баланс публичных и частных интересов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При разрешении спора о правах на земельный участок, заявленного по основаниям его нахождения в границах земель лесного фонда, юридически значимыми обстоятельствами, подлежащими установлению судом, являются в том числе формирование и фактическое использование такого земельного участка, наличие либо отсутствие в границах этого участка лесных насаждений, законность возникновения прав на данный участок и добросовестность приобретателя. Уполномоченный орган обратился с требованием к гражданину о признании отсутствующим права собственности на земельный участок, имеющий в части площади 9 кв. м наложение на земли лесного фонда Российской Федерации. Отказывая в удовлетворении заявленного требования, суд исходил из того, что в силу положений части 6 статьи 46 Закона о введении в действие ЛК РФ, части 4 статьи 602 Закона о регистрации недвижимости, частей 3, 10 статьи 14 Закона о переводе земель или земельных участков из одной категории в другую, позиции Конституционного Суда Российской Федерации, выраженной в определениях от 21 сентября 2017 года № 1793-О, от 24 февраля 2022 года № 423-О, законодателем установлен приоритет сведений о категории земельных участков, содержащихся в правоустанавливающих документах и ЕГРН, и исключена возможность произвольного изъятия земельных участков у граждан, которые приобрели их на законном основании (добросовестные приобретатели), только по формальным основаниям их расположения в границах лесничеств в соответствии с данными государственного учета. С учетом возникшего спора о праве к числу юридически значимых обстоятельств относятся формирование и фактическое использование земельного участка, наличие либо отсутствие в его границах лесных насаждений, законность возникновения прав на данный участок и добросовестность приобретателя. Установлено, что спорный земельный участок площадью 1200 кв. м из земель населенных пунктов с видом разрешенного использования «приусадебный участок личного подсобного хозяйства» был сформирован на основании генерального плана муниципального образования, поставлен на кадастровый учет и предоставлен администрацией муниципального образования по договору аренды правопредшественнику ответчика в 2015 году. Сведения о земельном участке внесены в ЕГРН также в 2015 году. Право аренды земельного участка, а впоследствии и право собственности приобретено ответчиком, полагавшимся на сведения ЕГРН. Факт отсутствия на спорном участке лесных насаждений подтвержден ортофотопланом участка в период его формирования. Ответчиком на земельном участке возведен жилой дом, участок огорожен, используется по целевому назначению. Доказательств недобросовестности ответчика при приобретении им права на земельный участок уполномоченным органом не представлено. При таких обстоятельствах суд пришел к выводу о добросовестности ответчика и необходимости применения с целью соблюдения баланса публичных и частных интересов к спорным отношениям положений части 3 статьи 14 Закона о переводе земель или земельных участков из одной категории в другую, части 4 статьи 602 Закона о регистрации недвижимости.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21</dc:title>
  <dc:subject/>
  <dc:creator>CasusLegal</dc:creator>
  <cp:keywords/>
  <dc:description/>
  <cp:lastModifiedBy>CasusLegal</cp:lastModifiedBy>
  <cp:revision>1</cp:revision>
  <dcterms:created xsi:type="dcterms:W3CDTF">2026-07-21T21:17:39Z</dcterms:created>
  <dcterms:modified xsi:type="dcterms:W3CDTF">2026-07-21T21:17:39Z</dcterms:modified>
  <cp:category/>
</cp:coreProperties>
</file>