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20</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ст. 209 ГК РФ, ст. 301 ГК РФ, ст. 6 ЛК РФ, ст. 67 ЛК РФ, ст. 70 ЛК РФ, ст. 93.1 ЛК РФ, ч. 6 ст. 47 Закона о кадастровой деятельности</w:t>
      </w:r>
    </w:p>
    <w:p>
      <w:pPr>
        <w:spacing w:after="40"/>
      </w:pPr>
      <w:r>
        <w:rPr>
          <w:rFonts w:ascii="Inter" w:hAnsi="Inter"/>
          <w:b/>
          <w:color w:val="8B8171"/>
          <w:sz w:val="18"/>
        </w:rPr>
        <w:t xml:space="preserve">Теги: </w:t>
      </w:r>
      <w:r>
        <w:rPr>
          <w:rFonts w:ascii="Inter" w:hAnsi="Inter"/>
          <w:color w:val="655D50"/>
          <w:sz w:val="18"/>
        </w:rPr>
        <w:t>истребование из незаконного владения, земли лесного фонда, материалы лесоустройства, государственный лесной реестр, ранее учтенный объект недвижимости, отсутствие кадастрового учета, таксационное описание</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При отсутствии государственного кадастрового учета земельный участок признается относящимся к категории земель лесного фонда по материалам лесоустройства, а сведения о его границах определяются на основании материалов лесоустройства и данных ГЛР. Рослесхоз обратился в суд с иском к администрации муниципального образования об истребовании из незаконного владения земельных участков, ссылаясь на то, что спорные участки образованы ответчиком в отсутствие правовых оснований из лесного участка, на который зарегистрировано право федеральной собственности. Удовлетворяя заявленные требования, суд исходил из того, что, несмотря на содержащиеся в выписках из ЕГРН данные о том, что образованные участки относятся к землям населенных пунктов, по материалам лесоустройства и данным ГЛР они полностью или частично расположены в границах земель лесного фонда, а следовательно, находятся в федеральной собственности, в связи с чем администрация муниципального образования не вправе ими распоряжаться, передавать в пользование (аренду) третьим лицам и обязана их возвратить (статьи 209, 301 ГК РФ, статьи 6, 67–701, 931 ЛК РФ). Частью 6 статьи 47 Закона о кадастровой деятельности определено, что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установленном порядке,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 Таким образом, при отсутствии государственного кадастрового учета земель государственного лесного фонда земельный участок признается относящимся к категории земель лесного фонда по материалам лесоустройства. Доказательствами, подтверждающими отнесение спорного участка к землям лесного фонда, является информация из ГЛР в виде надлежащим образом заверенных выписок и таксационных описаний, планов лесных насаждений, карт-схем лесничеств, являющихся первичными источниками информации об отнесении земельного участка к землям лесного фонда. Исследовав сведения ГЛР, таксационное описание, лесоустроительный планшет, карты-схемы лесничества, заключение филиала ФГБУ «Рослесинфорг» о пересечении границ образованных участков с границами земель лесного фонда, акты натурного обследования территории с приложенными фотографиями, суд пришел к выводу о том, что спорные участки образованы из земель лесного фонда, и удовлетворил исковые требования.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20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20</dc:title>
  <dc:subject/>
  <dc:creator>CasusLegal</dc:creator>
  <cp:keywords/>
  <dc:description/>
  <cp:lastModifiedBy>CasusLegal</cp:lastModifiedBy>
  <cp:revision>1</cp:revision>
  <dcterms:created xsi:type="dcterms:W3CDTF">2026-07-21T21:23:36Z</dcterms:created>
  <dcterms:modified xsi:type="dcterms:W3CDTF">2026-07-21T21:23:36Z</dcterms:modified>
  <cp:category/>
</cp:coreProperties>
</file>