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15</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п. 11 ч. 1 ст. 25 ЛК РФ, ч. 1 ст. 88 ЛК РФ, ст. 12 ЛК РФ, ч. 1 ст. 89 ЛК РФ, ч. 3 ст. 89 ЛК РФ</w:t>
      </w:r>
    </w:p>
    <w:p>
      <w:pPr>
        <w:spacing w:after="40"/>
      </w:pPr>
      <w:r>
        <w:rPr>
          <w:rFonts w:ascii="Inter" w:hAnsi="Inter"/>
          <w:b/>
          <w:color w:val="8B8171"/>
          <w:sz w:val="18"/>
        </w:rPr>
        <w:t xml:space="preserve">Теги: </w:t>
      </w:r>
      <w:r>
        <w:rPr>
          <w:rFonts w:ascii="Inter" w:hAnsi="Inter"/>
          <w:color w:val="655D50"/>
          <w:sz w:val="18"/>
        </w:rPr>
        <w:t>добыча полезных ископаемых, государственный природный заказник, проект освоения лесов, государственная экспертиза проекта, возмещение вреда окружающей среде, общераспространенные полезные ископаемые, лицензия на добычу</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Добыча полезных ископаемых на территории государственного природного заказника, положением о котором запрещено осуществление производственной деятельности, не допускается. Министерство природных ресурсов субъекта Российской Федерации предоставило учреждению по договору безвозмездного пользования лесной участок для реконструкции автомобильной дороги с условием соблюдения правового режима лесов и режима особой охраны территории государственного природного заказника. Проектная     документация     получила     положительное    заключение государственной экспертизы. Из данного заключения следовало, что для обеспечения реконструкции грунтовыми строительными материалами вдоль трассы автомобильной дороги запланировано изъятие общераспространенных полезных ископаемых (галечниковый грунт). Учреждение (заказчик) и общество (подрядчик) заключили контракт на выполнение работ по реконструкции автомобильной дороги, в соответствии с которым подрядчик принял на себя обязательство до начала работ получить разрешительные документы на добычу грунтовых строительных материалов в соответствии с законодательством. В связи с тем что общество осуществляло разработку карьера на территории государственного природного заказника федерального значения без получения лицензии на добычу общераспространенных полезных ископаемых, департамент обратился с иском к обществу о возмещении вреда, причиненного окружающей среде. Судебная коллегия Верховного Суда Российской Федерации отменила принятые по делу судебные акты, которыми было отказано в иске, и направила дело на новое рассмотрение по следующим основаниям. В соответствии с пунктом 11 части 1 статьи 25 ЛК РФ добыча полезных ископаемых является одним из видов использования лесов.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статьей 12 ЛК РФ (часть 1 статьи 88 ЛК РФ). Проект освоения лесов подлежит государственной или муниципальной экспертизе в порядке, установленном уполномоченным федеральным органом исполнительной власти (часть 1 статьи 89 ЛК РФ). Государственная экспертиза проектов освоения лесов, расположенных на землях ООПТ, утверждается уполномоченным федеральным органом исполнительной власти (часть 3 статьи 89 ЛК РФ). Общество использовало лесной участок, расположенный на ООПТ, в целях добычи    общераспространенных       полезных    ископаемых  в  отсутствие положительного заключения государственной экспертизы проекта освоения лесов, чем причинило вред окружающей среде, размер которого подлежал установлению судом первой инстанции.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15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15</dc:title>
  <dc:subject/>
  <dc:creator>CasusLegal</dc:creator>
  <cp:keywords/>
  <dc:description/>
  <cp:lastModifiedBy>CasusLegal</cp:lastModifiedBy>
  <cp:revision>1</cp:revision>
  <dcterms:created xsi:type="dcterms:W3CDTF">2026-07-21T21:50:32Z</dcterms:created>
  <dcterms:modified xsi:type="dcterms:W3CDTF">2026-07-21T21:50:32Z</dcterms:modified>
  <cp:category/>
</cp:coreProperties>
</file>