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Тематический обзор Верховного Суда Российской Федерации № 11/2026., п. 5</w:t>
      </w:r>
    </w:p>
    <w:p>
      <w:pPr>
        <w:spacing w:after="40"/>
      </w:pPr>
      <w:r>
        <w:rPr>
          <w:rFonts w:ascii="Inter" w:hAnsi="Inter"/>
          <w:b/>
          <w:color w:val="8B8171"/>
          <w:sz w:val="18"/>
        </w:rPr>
        <w:t xml:space="preserve">Суд: </w:t>
      </w:r>
      <w:r>
        <w:rPr>
          <w:rFonts w:ascii="Inter" w:hAnsi="Inter"/>
          <w:color w:val="655D50"/>
          <w:sz w:val="18"/>
        </w:rPr>
        <w:t>Верховный Суд РФ (Президиум, обзор)</w:t>
      </w:r>
    </w:p>
    <w:p>
      <w:pPr>
        <w:spacing w:after="40"/>
      </w:pPr>
      <w:r>
        <w:rPr>
          <w:rFonts w:ascii="Inter" w:hAnsi="Inter"/>
          <w:b/>
          <w:color w:val="8B8171"/>
          <w:sz w:val="18"/>
        </w:rPr>
        <w:t xml:space="preserve">Дата: </w:t>
      </w:r>
      <w:r>
        <w:rPr>
          <w:rFonts w:ascii="Inter" w:hAnsi="Inter"/>
          <w:color w:val="655D50"/>
          <w:sz w:val="18"/>
        </w:rPr>
        <w:t>01.07.2026</w:t>
      </w:r>
    </w:p>
    <w:p>
      <w:pPr>
        <w:spacing w:after="40"/>
      </w:pPr>
      <w:r>
        <w:rPr>
          <w:rFonts w:ascii="Inter" w:hAnsi="Inter"/>
          <w:b/>
          <w:color w:val="8B8171"/>
          <w:sz w:val="18"/>
        </w:rPr>
        <w:t xml:space="preserve">Номер дела: </w:t>
      </w:r>
      <w:r>
        <w:rPr>
          <w:rFonts w:ascii="Inter" w:hAnsi="Inter"/>
          <w:color w:val="655D50"/>
          <w:sz w:val="18"/>
        </w:rPr>
        <w:t>14А/2026</w:t>
      </w:r>
    </w:p>
    <w:p>
      <w:pPr>
        <w:spacing w:after="40"/>
      </w:pPr>
      <w:r>
        <w:rPr>
          <w:rFonts w:ascii="Inter" w:hAnsi="Inter"/>
          <w:b/>
          <w:color w:val="8B8171"/>
          <w:sz w:val="18"/>
        </w:rPr>
        <w:t xml:space="preserve">Применённые нормы: </w:t>
      </w:r>
      <w:r>
        <w:rPr>
          <w:rFonts w:ascii="Inter" w:hAnsi="Inter"/>
          <w:color w:val="655D50"/>
          <w:sz w:val="18"/>
        </w:rPr>
        <w:t>ст. 95 ЗК РФ, п. 15 ст. 1 Закона об охоте, ч. 1 ст. 7 Закона об охоте, ст. 47 Закона о животном мире, ст. 24 Закона об ООПТ, ст. 451 ГК РФ</w:t>
      </w:r>
    </w:p>
    <w:p>
      <w:pPr>
        <w:spacing w:after="40"/>
      </w:pPr>
      <w:r>
        <w:rPr>
          <w:rFonts w:ascii="Inter" w:hAnsi="Inter"/>
          <w:b/>
          <w:color w:val="8B8171"/>
          <w:sz w:val="18"/>
        </w:rPr>
        <w:t xml:space="preserve">Теги: </w:t>
      </w:r>
      <w:r>
        <w:rPr>
          <w:rFonts w:ascii="Inter" w:hAnsi="Inter"/>
          <w:color w:val="655D50"/>
          <w:sz w:val="18"/>
        </w:rPr>
        <w:t>государственный природный заказник, охотхозяйственное соглашение, изменение договора в связи с созданием ООПТ, существенное изменение обстоятельств, прекращение права пользования животным миром, режим особой охраны</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Издание нормативного акта уполномоченного органа о создании государственного природного заказника является основанием для изменения или расторжения ранее заключенного договора, на основании которого осуществляется деятельность, не связанная с сохранением и изучением природных комплексов и объектов. Между обществом и департаментом по охране и использованию объектов животного мира заключено охотхозяйственное соглашение сроком на 49 лет. Департамент обратился в суд с иском об исключении из охотничьего угодья кварталов участкового лесничества, включенных в границы заказника, создаваемого на основании постановления правительства субъекта Российской Федерации. Суд требование департамента удовлетворил по следующим основаниям. Согласно пункту 15 статьи 1 и части 1 статьи 7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в границы охотничьих угодий включаются земли, правовой режим которых допускает осуществление видов деятельности в сфере охотничьего хозяйства. Исходя из положений статьи 95 ЗК РФ на землях государственных природных заказников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силу статьи 47 Федерального закона от 24 апреля 1995 года № 52-ФЗ «О животном мире» право пользования животным миром прекращается полностью или частично в том числе в случаях использования территории, акватории для государственных нужд, исключающих пользование животным миром. Принудительное прекращение права пользования животным миром осуществляется в судебном порядке. Создание государственных природных заказников регионального значения, определение задач и особенностей режима особой охраны конкретного природного заказника регионального значения является прерогативой органов исполнительной     власти    субъектов    Российской   Федерации,    которые на территориях государственных природных заказников вправе постоянно или временно запретить или ограничить любую деятельность, если она противоречит целям создания государственных природных заказников или причиняет вред природным комплексам и их компонентам. Суд установил, что лесные кварталы, указанные в просительной части исковых требований, включены в границы государственного природного биологического заказника, созданного на основании постановления правительства субъекта Российской Федерации существенно позже даты заключения охотхозяйственного соглашения. Оценив положение о государственном природном биологическом заказнике, суд установил, что проведение обществом дальнейших мероприятий по сохранению охотничьих ресурсов и среды их обитания и создание охотничьей инфраструктуры в границах спорного земельного участка противоречит целям создания ООПТ регионального значения и не соответствует режиму ее использования, в связи с чем с учетом статьи 24 Закона об ООПТ, статьи 451 ГК РФ сделал вывод о необходимости внесения соответствующих изменений в охотхозяйственное соглашение как связанных с существенным изменением обстоятельств.</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"Тематический обзор Верховного Суда Российской Федерации № 11/2026. О рассмотрении судами дел, связанных с правами на земельные участки отдельных категорий земель, изъятых из оборота и ограниченных в обороте, и с использованием таких участков", п. 5</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обзор Верховного Суда Российской Федерации № 11/2026., п. 5</dc:title>
  <dc:subject/>
  <dc:creator>CasusLegal</dc:creator>
  <cp:keywords/>
  <dc:description/>
  <cp:lastModifiedBy>CasusLegal</cp:lastModifiedBy>
  <cp:revision>1</cp:revision>
  <dcterms:created xsi:type="dcterms:W3CDTF">2026-07-21T21:42:13Z</dcterms:created>
  <dcterms:modified xsi:type="dcterms:W3CDTF">2026-07-21T21:42:13Z</dcterms:modified>
  <cp:category/>
</cp:coreProperties>
</file>