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drawing>
          <wp:inline xmlns:a="http://schemas.openxmlformats.org/drawingml/2006/main" xmlns:pic="http://schemas.openxmlformats.org/drawingml/2006/picture">
            <wp:extent cx="152400" cy="15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CLCluadeLogo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/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rFonts w:ascii="Cormorant Garamond" w:hAnsi="Cormorant Garamond"/>
          <w:b/>
          <w:color w:val="B63A26"/>
          <w:sz w:val="36"/>
        </w:rPr>
        <w:t>Casus</w:t>
      </w:r>
      <w:r>
        <w:rPr>
          <w:rFonts w:ascii="Cormorant Garamond" w:hAnsi="Cormorant Garamond"/>
          <w:b/>
          <w:color w:val="655D50"/>
          <w:sz w:val="36"/>
        </w:rPr>
        <w:t>Legal</w:t>
      </w:r>
    </w:p>
    <w:p>
      <w:pPr>
        <w:spacing w:before="160" w:after="120"/>
      </w:pPr>
      <w:r>
        <w:rPr>
          <w:rFonts w:ascii="Cormorant Garamond" w:hAnsi="Cormorant Garamond"/>
          <w:b/>
          <w:color w:val="3F3931"/>
          <w:sz w:val="28"/>
        </w:rPr>
        <w:t>Тематический обзор Верховного Суда Российской Федерации № 13/2026. О судебной практике по делам, связанным с самовольным строительством, п. 22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Суд: </w:t>
      </w:r>
      <w:r>
        <w:rPr>
          <w:rFonts w:ascii="Inter" w:hAnsi="Inter"/>
          <w:color w:val="655D50"/>
          <w:sz w:val="18"/>
        </w:rPr>
        <w:t>Верховный Суд РФ (Президиум, обзор)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Дата: </w:t>
      </w:r>
      <w:r>
        <w:rPr>
          <w:rFonts w:ascii="Inter" w:hAnsi="Inter"/>
          <w:color w:val="655D50"/>
          <w:sz w:val="18"/>
        </w:rPr>
        <w:t>01.07.2026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Номер дела: </w:t>
      </w:r>
      <w:r>
        <w:rPr>
          <w:rFonts w:ascii="Inter" w:hAnsi="Inter"/>
          <w:color w:val="655D50"/>
          <w:sz w:val="18"/>
        </w:rPr>
        <w:t>16А/2026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Применённые нормы: </w:t>
      </w:r>
      <w:r>
        <w:rPr>
          <w:rFonts w:ascii="Inter" w:hAnsi="Inter"/>
          <w:color w:val="655D50"/>
          <w:sz w:val="18"/>
        </w:rPr>
        <w:t>ст. 222 ГК РФ</w:t>
      </w:r>
    </w:p>
    <w:p>
      <w:pPr>
        <w:spacing w:after="40"/>
      </w:pPr>
      <w:r>
        <w:rPr>
          <w:rFonts w:ascii="Inter" w:hAnsi="Inter"/>
          <w:b/>
          <w:color w:val="8B8171"/>
          <w:sz w:val="18"/>
        </w:rPr>
        <w:t xml:space="preserve">Теги: </w:t>
      </w:r>
      <w:r>
        <w:rPr>
          <w:rFonts w:ascii="Inter" w:hAnsi="Inter"/>
          <w:color w:val="655D50"/>
          <w:sz w:val="18"/>
        </w:rPr>
        <w:t>внесудебный снос самовольной постройки, многоквартирный дом, общее имущество собственников, гараж, административная процедура сноса, судебный порядок сноса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Позиция суда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Орган местного самоуправления не вправе применять административную процедуру сноса самовольной постройки в отношении объекта, являющегося частью многоквартирного дома. Гражданин обратился в суд с требованием о признании незаконным постановления администрации муниципального образования о сносе гаража, являющегося капитальным строением, полагая, что у администрации муниципального образования не имелось оснований для применения пункта 4 статьи 222 ГК РФ, поскольку спорный объект расположен на земельном участке, являющемся общим имуществом собственников помещений многоквартирного жилого дома. Удовлетворяя заявленное требование, суд исходил из следующего. В пункте 4 статьи 222 ГК РФ определены случаи, в которых органы местного самоуправления принимают решение о сносе самовольной постройки либо решение о сносе самовольной постройки или ее приведении в соответствие с установленными требованиями. При этом в названном пункте закреплено, что такие решения не могут быть приняты органами местного самоуправления в отношении самовольных построек, возведенных или созданных на земельных участках, не находящихся в государственной или муниципальной собственности, кроме случаев, если сохранение таких построек создает угрозу жизни и здоровью граждан. Также установлен запрет на применение административной процедуры сноса самовольной постройки в отношении многоквартирного дома, жилого дома. Согласно материалам дела в 1995 году был сформирован и поставлен на кадастровый учет земельный участок с видом разрешенного использования «под многоэтажную застройку», на данном участке расположен объект недвижимости, являющийся многоквартирным домом. Спорный гараж пристроен к стене многоквартирного дома и является его частью, возведен на земельном участке, принадлежащем собственникам помещений в многоквартирном доме на праве общей долевой собственности. Ввиду изложенного администрация муниципального образования не вправе была применять внесудебную процедуру сноса, вопрос о сносе такого объекта подлежал рассмотрению исключительно в судебном порядке.</w:t>
      </w:r>
    </w:p>
    <w:p>
      <w:pPr>
        <w:spacing w:before="280" w:after="80"/>
      </w:pPr>
      <w:r>
        <w:rPr>
          <w:rFonts w:ascii="Cormorant Garamond" w:hAnsi="Cormorant Garamond"/>
          <w:b/>
          <w:color w:val="B63A26"/>
          <w:sz w:val="28"/>
        </w:rPr>
        <w:t>Иные положения акта</w:t>
      </w:r>
    </w:p>
    <w:p>
      <w:pPr>
        <w:widowControl/>
        <w:spacing w:after="280" w:line="312" w:lineRule="auto"/>
        <w:ind w:firstLine="567"/>
        <w:jc w:val="both"/>
      </w:pPr>
      <w:r>
        <w:rPr>
          <w:rFonts w:ascii="Inter" w:hAnsi="Inter"/>
          <w:color w:val="655D50"/>
          <w:sz w:val="24"/>
        </w:rPr>
        <w:t>"Тематический обзор Верховного Суда Российской Федерации № 13/2026. О судебной практике по делам, связанным с самовольным строительством", п. 22</w:t>
      </w:r>
    </w:p>
    <w:p>
      <w:pPr>
        <w:spacing w:before="360"/>
      </w:pPr>
      <w:r>
        <w:rPr>
          <w:rFonts w:ascii="Inter" w:hAnsi="Inter"/>
          <w:i/>
          <w:color w:val="8B8171"/>
          <w:sz w:val="15"/>
        </w:rPr>
        <w:t>Документ сформирован сервисом CasusLegal на основе официального текста судебного акта. Для использования в процессуальных целях сверяйтесь с официальными источниками опубликования.</w:t>
      </w:r>
    </w:p>
    <w:sectPr w:rsidR="00FC693F" w:rsidRPr="0006063C" w:rsidSect="00034616">
      <w:footerReference w:type="default" r:id="rId10"/>
      <w:pgSz w:w="12240" w:h="15840"/>
      <w:pgMar w:top="1157" w:right="1134" w:bottom="1157" w:left="158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4762" w:val="center"/>
        <w:tab w:pos="9524" w:val="right"/>
      </w:tabs>
      <w:jc w:val="left"/>
    </w:pPr>
    <w:r>
      <w:tab/>
    </w:r>
    <w:hyperlink r:id="rId1">
      <w:r>
        <w:rPr>
          <w:rFonts w:ascii="Inter" w:hAnsi="Inter"/>
          <w:color w:val="B63A26"/>
          <w:sz w:val="16"/>
        </w:rPr>
        <w:t>@CasusLegalBot</w:t>
      </w:r>
    </w:hyperlink>
    <w:r>
      <w:tab/>
    </w:r>
    <w:r>
      <w:rPr>
        <w:rFonts w:ascii="Inter" w:hAnsi="Inter"/>
        <w:color w:val="8B8171"/>
        <w:sz w:val="24"/>
      </w:rP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Inter" w:hAnsi="Inter"/>
      <w:color w:val="655D50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footer" Target="footer1.xml"/></Relationships>
</file>

<file path=word/_rels/footer1.xml.rels><?xml version='1.0' encoding='UTF-8' standalone='yes'?>
<Relationships xmlns="http://schemas.openxmlformats.org/package/2006/relationships"><Relationship Id="rId1" Type="http://schemas.openxmlformats.org/officeDocument/2006/relationships/hyperlink" Target="https://t.me/CasusLegalB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CasusLegal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CasusLegal</Company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Тематический обзор Верховного Суда Российской Федерации № 13/2026. О судебной практике по делам, связанным с самовольным строительством, п. 22</dc:title>
  <dc:subject/>
  <dc:creator>CasusLegal</dc:creator>
  <cp:keywords/>
  <dc:description/>
  <cp:lastModifiedBy>CasusLegal</cp:lastModifiedBy>
  <cp:revision>1</cp:revision>
  <dcterms:created xsi:type="dcterms:W3CDTF">2026-07-21T21:15:36Z</dcterms:created>
  <dcterms:modified xsi:type="dcterms:W3CDTF">2026-07-21T21:15:36Z</dcterms:modified>
  <cp:category/>
</cp:coreProperties>
</file>