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13/2026. О судебной практике по делам, связанным с самовольным строительством, п. 14</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16А/2026</w:t>
      </w:r>
    </w:p>
    <w:p>
      <w:pPr>
        <w:spacing w:after="40"/>
      </w:pPr>
      <w:r>
        <w:rPr>
          <w:rFonts w:ascii="Inter" w:hAnsi="Inter"/>
          <w:b/>
          <w:color w:val="8B8171"/>
          <w:sz w:val="18"/>
        </w:rPr>
        <w:t xml:space="preserve">Применённые нормы: </w:t>
      </w:r>
      <w:r>
        <w:rPr>
          <w:rFonts w:ascii="Inter" w:hAnsi="Inter"/>
          <w:color w:val="655D50"/>
          <w:sz w:val="18"/>
        </w:rPr>
        <w:t>ст. 22 ГПК РФ, ст. 45 ГПК РФ</w:t>
      </w:r>
    </w:p>
    <w:p>
      <w:pPr>
        <w:spacing w:after="40"/>
      </w:pPr>
      <w:r>
        <w:rPr>
          <w:rFonts w:ascii="Inter" w:hAnsi="Inter"/>
          <w:b/>
          <w:color w:val="8B8171"/>
          <w:sz w:val="18"/>
        </w:rPr>
        <w:t xml:space="preserve">Теги: </w:t>
      </w:r>
      <w:r>
        <w:rPr>
          <w:rFonts w:ascii="Inter" w:hAnsi="Inter"/>
          <w:color w:val="655D50"/>
          <w:sz w:val="18"/>
        </w:rPr>
        <w:t>снос самовольной постройки, выселение, право пользования жилым помещением, несовершеннолетние, подведомственность суду общей юрисдикции, прокурор в деле</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Если в спорной постройке проживают граждане, имеющие право пользования жилым помещением, при принятии решения о сносе должен разрешаться вопрос о выселении таких лиц. Администрация муниципального образования обратилась в суд с иском к собственникам земельного участка о сносе самовольной постройки – жилого дома. Решением суда первой инстанции в удовлетворении требований отказано. Апелляционным определением, оставленным без изменения судом кассационной инстанции, решение суда первой инстанции отменено, по делу принято новое решение об удовлетворении требований. Судебная коллегия Верховного Суда Российской Федерации судебные акты судов апелляционной и кассационной инстанций отменила, дело направила на новое рассмотрение в суд апелляционной инстанции, указав следующее. Судом при разрешении спора установлено, что в спорном доме зарегистрированы и проживают ответчики и члены их семьи, в том числе несовершеннолетние. Согласно разъяснениям, изложенным в пункте 11 постановления № 44, если в спорной постройке проживают граждане, имеющие право пользования жилым помещением, требование о сносе может быть удовлетворено только с одновременным разрешением вопроса о выселении таких лиц. В указанном случае спор подлежит рассмотрению и разрешению в суде общей юрисдикции (часть 4 статьи 22 ГПК РФ). При этом суд привлекает к участию в деле прокурора для дачи заключения по требованию о выселении (часть 3 статьи 45 ГПК РФ). Между тем, как указала Судебная коллегия Верховного Суда Российской Федерации, принимая решение о сносе самовольной постройки, суд апелляционной инстанции вопрос о выселении членов семьи ответчиков не рассматривал и не разрешал, прокурор к участию в деле не привлекался.</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13/2026. О судебной практике по делам, связанным с самовольным строительством", п. 14</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13/2026. О судебной практике по делам, связанным с самовольным строительством, п. 14</dc:title>
  <dc:subject/>
  <dc:creator>CasusLegal</dc:creator>
  <cp:keywords/>
  <dc:description/>
  <cp:lastModifiedBy>CasusLegal</cp:lastModifiedBy>
  <cp:revision>1</cp:revision>
  <dcterms:created xsi:type="dcterms:W3CDTF">2026-07-21T21:25:11Z</dcterms:created>
  <dcterms:modified xsi:type="dcterms:W3CDTF">2026-07-21T21:25:11Z</dcterms:modified>
  <cp:category/>
</cp:coreProperties>
</file>