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10</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222 ГК РФ, ст. 40 ЗК РФ, ст. 85 ЗК РФ, ст. 30 ГрК РФ, ст. 36 ГрК РФ, ст. 37 ГрК РФ</w:t>
      </w:r>
    </w:p>
    <w:p>
      <w:pPr>
        <w:spacing w:after="40"/>
      </w:pPr>
      <w:r>
        <w:rPr>
          <w:rFonts w:ascii="Inter" w:hAnsi="Inter"/>
          <w:b/>
          <w:color w:val="8B8171"/>
          <w:sz w:val="18"/>
        </w:rPr>
        <w:t xml:space="preserve">Теги: </w:t>
      </w:r>
      <w:r>
        <w:rPr>
          <w:rFonts w:ascii="Inter" w:hAnsi="Inter"/>
          <w:color w:val="655D50"/>
          <w:sz w:val="18"/>
        </w:rPr>
        <w:t>самовольная постройка, вид разрешенного использования, нецелевое использование объекта, индивидуальный жилой дом, коммерческое использование, правила землепользования и застройки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Объект капитального строительства, который соответствует виду разрешенного использования земельного участка, но фактически используется в иных целях, не является самовольной постройкой. Администрация муниципального образования обратилась в суд с требованиями к собственнику земельного участка о сносе (демонтаже) объекта недвижимости, расположенного на его участке, и о приведении участка в первоначальное состояние, указав, что земельный участок, предназначенный для садоводства и индивидуального жилищного строительства (далее – ИЖС), используется с нарушением вида разрешенного использования, а именно для коммерческих целей. Решением суда первой инстанции в удовлетворении требований администрации отказано. Суд апелляционной инстанции, позицию которого поддержал суд кассационной инстанции, решение суда первой инстанции отменил, требования администрации удовлетворил. Судебная коллегия Верховного Суда Российской Федерации судебные акты судов апелляционной и кассационной инстанций отменила, дело направила на новое рассмотрение в суд апелляционной инстанции, указав следующее. В силу подпункта 2 пункта 1 статьи 40 ЗК РФ собственник земельного участка имеет право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Как разъяснено в пункте 19 постановления № 44, при наличии утвержденных в установленном порядке правил землепользования и застройки использование земельного участка в целях строительства осуществляется исходя из предусмотренных градостроительным регламентом применительно к территориальной зоне, в которой расположен участок, видов разрешенного использования (пункт 3 статьи 85 ЗК РФ, статья 30, часть 1 статьи 36, статья 37 ГрК РФ, пункт 12 части 1 статьи 10 Закона о государственной регистрации недвижимости), за исключением случаев, если на земельный участок действие градостроительного регламента не распространяется (часть 4 статьи 36 ГрК РФ). Использование не по целевому назначению объекта, возведенного в соответствии с разрешенным использованием земельного участка, не является основанием для признания его самовольной постройкой (абзац третий пункта 19 постановления № 44). Из установленных судом обстоятельств следует, что собственником земельного участка возведен объект капитального строительства, который в соответствии с заключением судебной экспертизы по своим конструктивным и объемно-планировочным решениям может использоваться как индивидуальный жилой дом, соответствует требованиям, предъявляемым к индивидуальным жилым домам, не создает угрозу жизни и здоровью граждан и не нарушает права третьих лиц, а вид разрешенного использования земельного участка допускает размещение на нем данного объекта. При этом экспертом высказано суждение о том, что объект недвижимости может использоваться в качестве объекта коммерческого назначения. Суды, удовлетворяя иск администрации о сносе данного объекта, исходили из возможного использования объекта в коммерческих целях для временного размещения отдыхающих, что нарушает вид разрешенного использования земельного участка. Однако судами не учтено, что объект капитального строительства, который может использоваться в соответствии с видом разрешенного использования земельного участка, но фактически используется в иных целях, не соответствующих этому виду, сам по себе самовольной постройкой по смыслу положений статьи 222 ГК РФ не является.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10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10</dc:title>
  <dc:subject/>
  <dc:creator>CasusLegal</dc:creator>
  <cp:keywords/>
  <dc:description/>
  <cp:lastModifiedBy>CasusLegal</cp:lastModifiedBy>
  <cp:revision>1</cp:revision>
  <dcterms:created xsi:type="dcterms:W3CDTF">2026-07-21T21:28:54Z</dcterms:created>
  <dcterms:modified xsi:type="dcterms:W3CDTF">2026-07-21T21:28:54Z</dcterms:modified>
  <cp:category/>
</cp:coreProperties>
</file>