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</w:pPr>
      <w:r>
        <w:drawing>
          <wp:inline xmlns:a="http://schemas.openxmlformats.org/drawingml/2006/main" xmlns:pic="http://schemas.openxmlformats.org/drawingml/2006/picture">
            <wp:extent cx="152400" cy="1524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CLCluade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/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rFonts w:ascii="Cormorant Garamond" w:hAnsi="Cormorant Garamond"/>
          <w:b/>
          <w:color w:val="B63A26"/>
          <w:sz w:val="36"/>
        </w:rPr>
        <w:t>Casus</w:t>
      </w:r>
      <w:r>
        <w:rPr>
          <w:rFonts w:ascii="Cormorant Garamond" w:hAnsi="Cormorant Garamond"/>
          <w:b/>
          <w:color w:val="655D50"/>
          <w:sz w:val="36"/>
        </w:rPr>
        <w:t>Legal</w:t>
      </w:r>
    </w:p>
    <w:p>
      <w:pPr>
        <w:spacing w:before="160" w:after="120"/>
      </w:pPr>
      <w:r>
        <w:rPr>
          <w:rFonts w:ascii="Cormorant Garamond" w:hAnsi="Cormorant Garamond"/>
          <w:b/>
          <w:color w:val="3F3931"/>
          <w:sz w:val="28"/>
        </w:rPr>
        <w:t>Тематический обзор Верховного Суда Российской Федерации № 13/2026. О судебной практике по делам, связанным с самовольным строительством, п. 8</w:t>
      </w:r>
    </w:p>
    <w:p>
      <w:pPr>
        <w:spacing w:after="40"/>
      </w:pPr>
      <w:r>
        <w:rPr>
          <w:rFonts w:ascii="Inter" w:hAnsi="Inter"/>
          <w:b/>
          <w:color w:val="8B8171"/>
          <w:sz w:val="18"/>
        </w:rPr>
        <w:t xml:space="preserve">Суд: </w:t>
      </w:r>
      <w:r>
        <w:rPr>
          <w:rFonts w:ascii="Inter" w:hAnsi="Inter"/>
          <w:color w:val="655D50"/>
          <w:sz w:val="18"/>
        </w:rPr>
        <w:t>Верховный Суд РФ (Президиум, обзор)</w:t>
      </w:r>
    </w:p>
    <w:p>
      <w:pPr>
        <w:spacing w:after="40"/>
      </w:pPr>
      <w:r>
        <w:rPr>
          <w:rFonts w:ascii="Inter" w:hAnsi="Inter"/>
          <w:b/>
          <w:color w:val="8B8171"/>
          <w:sz w:val="18"/>
        </w:rPr>
        <w:t xml:space="preserve">Дата: </w:t>
      </w:r>
      <w:r>
        <w:rPr>
          <w:rFonts w:ascii="Inter" w:hAnsi="Inter"/>
          <w:color w:val="655D50"/>
          <w:sz w:val="18"/>
        </w:rPr>
        <w:t>01.07.2026</w:t>
      </w:r>
    </w:p>
    <w:p>
      <w:pPr>
        <w:spacing w:after="40"/>
      </w:pPr>
      <w:r>
        <w:rPr>
          <w:rFonts w:ascii="Inter" w:hAnsi="Inter"/>
          <w:b/>
          <w:color w:val="8B8171"/>
          <w:sz w:val="18"/>
        </w:rPr>
        <w:t xml:space="preserve">Номер дела: </w:t>
      </w:r>
      <w:r>
        <w:rPr>
          <w:rFonts w:ascii="Inter" w:hAnsi="Inter"/>
          <w:color w:val="655D50"/>
          <w:sz w:val="18"/>
        </w:rPr>
        <w:t>16А/2026</w:t>
      </w:r>
    </w:p>
    <w:p>
      <w:pPr>
        <w:spacing w:after="40"/>
      </w:pPr>
      <w:r>
        <w:rPr>
          <w:rFonts w:ascii="Inter" w:hAnsi="Inter"/>
          <w:b/>
          <w:color w:val="8B8171"/>
          <w:sz w:val="18"/>
        </w:rPr>
        <w:t xml:space="preserve">Применённые нормы: </w:t>
      </w:r>
      <w:r>
        <w:rPr>
          <w:rFonts w:ascii="Inter" w:hAnsi="Inter"/>
          <w:color w:val="655D50"/>
          <w:sz w:val="18"/>
        </w:rPr>
        <w:t>ст. 260 ГК РФ, ст. 12 ЗК РФ, ст. 42 ЗК РФ, ст. 77 ЗК РФ, ст. 78 ЗК РФ, ст. 8 Федерального закона от 16.07.1998 № 101-ФЗ, ст. 7 Федерального закона от 21.12.2004 № 172-ФЗ, ст. 8 Федерального закона от 21.12.2004 № 172-ФЗ, ст. 37 ГрК РФ</w:t>
      </w:r>
    </w:p>
    <w:p>
      <w:pPr>
        <w:spacing w:after="40"/>
      </w:pPr>
      <w:r>
        <w:rPr>
          <w:rFonts w:ascii="Inter" w:hAnsi="Inter"/>
          <w:b/>
          <w:color w:val="8B8171"/>
          <w:sz w:val="18"/>
        </w:rPr>
        <w:t xml:space="preserve">Теги: </w:t>
      </w:r>
      <w:r>
        <w:rPr>
          <w:rFonts w:ascii="Inter" w:hAnsi="Inter"/>
          <w:color w:val="655D50"/>
          <w:sz w:val="18"/>
        </w:rPr>
        <w:t>самовольная постройка, земли сельскохозяйственного назначения, перевод земель из одной категории в другую, изменение вида разрешенного использования, злоупотребление правом, прокурор в интересах РФ, недействительность сделки</w:t>
      </w:r>
    </w:p>
    <w:p>
      <w:pPr>
        <w:spacing w:before="280" w:after="80"/>
      </w:pPr>
      <w:r>
        <w:rPr>
          <w:rFonts w:ascii="Cormorant Garamond" w:hAnsi="Cormorant Garamond"/>
          <w:b/>
          <w:color w:val="B63A26"/>
          <w:sz w:val="28"/>
        </w:rPr>
        <w:t>Позиция суда</w:t>
      </w:r>
    </w:p>
    <w:p>
      <w:pPr>
        <w:widowControl/>
        <w:spacing w:after="280" w:line="312" w:lineRule="auto"/>
        <w:ind w:firstLine="567"/>
        <w:jc w:val="both"/>
      </w:pPr>
      <w:r>
        <w:rPr>
          <w:rFonts w:ascii="Inter" w:hAnsi="Inter"/>
          <w:color w:val="655D50"/>
          <w:sz w:val="24"/>
        </w:rPr>
        <w:t>Здания, возведенные на землях сельскохозяйственного назначения, которые были незаконно переведены в земли населенных пунктов, являются самовольными постройками и подлежат сносу. Прокурор в интересах Российской Федерации и неопределенного круга лиц обратился в суд с требованиями к территориальному управлению Федерального агентства по управлению государственным имуществом (далее – Росимущество), собственникам земельных участков о признании сделок недействительными (ничтожными), применении последствий их недействительности, признании объектов капитального строительства самовольными постройками и об их сносе, ссылаясь на то, что в результате надзорных мероприятий выявлены факты незаконного     распоряжения      земельными    участками     из     земель сельскохозяйственного назначения. Решением суда первой инстанции, оставленным без изменения судами апелляционной и кассационной инстанций, требования удовлетворены. Судебная коллегия Верховного Суда Российской Федерации признала законными и обоснованными судебные постановления нижестоящих судов, указав следующее. Исходя из положений пункта 2 статьи 260 ГК РФ, статей 12, 42, 77, 78 ЗК РФ, статьи 8 Федерального закона от 16 июля 1998 г. № 101-ФЗ «О государственном регулировании обеспечения плодородия земель сельскохозяйственного назначения», пункта 3 части 1 статьи 7 и статьи 8 Федерального закона от 21 декабря 2004 г. № 172-ФЗ «О переводе земель или земельных участков из одной категории в другую» до перевода земель одной категории в другую категорию в действующем законодательстве отсутствуют основания для изменения вида разрешенного использования земель сельскохозяйственного назначения, предоставленных для ведения садоводства, дачного строительства.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 (часть 3 статьи 37 ГрК РФ). Самостоятельное изменение арендатором вида разрешенного использования земельного участка на иной из числа видов, предусмотренных градостроительным регламентом, не допускается в том случае, когда участок предоставлялся в аренду для определенного вида использования. Между тем в нарушение приведенных положений законодательства и вопреки условиям договора аренды распоряжениями Росимущества, дополнительными соглашениями к договорам аренды изменены виды разрешенного использования земельных участков на вид «садовый земельный участок», предусматривающий возведение индивидуальных жилых домов и иных строений. Земельные      участки      предоставлялись       для      осуществления сельскохозяйственной деятельности, и на них распространялся режим земель сельскохозяйственного назначения, не допускающий строительства жилых домов и иных объектов, не связанных с осуществлением сельскохозяйственной деятельности. Вместе с тем доказательств, подтверждающих наличие основания для перевода земель сельскохозяйственного назначения в категорию земель населенных пунктов, а также соблюдение установленной законом процедуры, не представлено. Таким образом, выводы судов о том, что действия ответчиков по выводу земельного участка из сельскохозяйственного оборота для последующего осуществления строительства объектов недвижимости, их реализации и получения незаконного обогащения, совершены вопреки интересам Российской Федерации, в нарушение основных начал земельного законодательства и при наличии признаков злоупотребления правом, являются правильными. Поскольку объекты капитального строительства на указанных земельных участках возведены в нарушение земельного законодательства, в отсутствие доказательств законности перевода земель сельскохозяйственного назначения в земли населенных пунктов, суды пришли к обоснованному выводу о наличии оснований для признания построек самовольными и подлежащими сносу.</w:t>
      </w:r>
    </w:p>
    <w:p>
      <w:pPr>
        <w:spacing w:before="280" w:after="80"/>
      </w:pPr>
      <w:r>
        <w:rPr>
          <w:rFonts w:ascii="Cormorant Garamond" w:hAnsi="Cormorant Garamond"/>
          <w:b/>
          <w:color w:val="B63A26"/>
          <w:sz w:val="28"/>
        </w:rPr>
        <w:t>Иные положения акта</w:t>
      </w:r>
    </w:p>
    <w:p>
      <w:pPr>
        <w:widowControl/>
        <w:spacing w:after="280" w:line="312" w:lineRule="auto"/>
        <w:ind w:firstLine="567"/>
        <w:jc w:val="both"/>
      </w:pPr>
      <w:r>
        <w:rPr>
          <w:rFonts w:ascii="Inter" w:hAnsi="Inter"/>
          <w:color w:val="655D50"/>
          <w:sz w:val="24"/>
        </w:rPr>
        <w:t>"Тематический обзор Верховного Суда Российской Федерации № 13/2026. О судебной практике по делам, связанным с самовольным строительством", п. 8</w:t>
      </w:r>
    </w:p>
    <w:p>
      <w:pPr>
        <w:spacing w:before="360"/>
      </w:pPr>
      <w:r>
        <w:rPr>
          <w:rFonts w:ascii="Inter" w:hAnsi="Inter"/>
          <w:i/>
          <w:color w:val="8B8171"/>
          <w:sz w:val="15"/>
        </w:rPr>
        <w:t>Документ сформирован сервисом CasusLegal на основе официального текста судебного акта. Для использования в процессуальных целях сверяйтесь с официальными источниками опубликования.</w:t>
      </w:r>
    </w:p>
    <w:sectPr w:rsidR="00FC693F" w:rsidRPr="0006063C" w:rsidSect="00034616">
      <w:footerReference w:type="default" r:id="rId10"/>
      <w:pgSz w:w="12240" w:h="15840"/>
      <w:pgMar w:top="1157" w:right="1134" w:bottom="1157" w:left="158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tabs>
        <w:tab w:pos="4762" w:val="center"/>
        <w:tab w:pos="9524" w:val="right"/>
      </w:tabs>
      <w:jc w:val="left"/>
    </w:pPr>
    <w:r>
      <w:tab/>
    </w:r>
    <w:hyperlink r:id="rId1">
      <w:r>
        <w:rPr>
          <w:rFonts w:ascii="Inter" w:hAnsi="Inter"/>
          <w:color w:val="B63A26"/>
          <w:sz w:val="16"/>
        </w:rPr>
        <w:t>@CasusLegalBot</w:t>
      </w:r>
    </w:hyperlink>
    <w:r>
      <w:tab/>
    </w:r>
    <w:r>
      <w:rPr>
        <w:rFonts w:ascii="Inter" w:hAnsi="Inter"/>
        <w:color w:val="8B8171"/>
        <w:sz w:val="24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Inter" w:hAnsi="Inter"/>
      <w:color w:val="655D5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s://t.me/CasusLegalB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CasusLegal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CasusLegal</Company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Тематический обзор Верховного Суда Российской Федерации № 13/2026. О судебной практике по делам, связанным с самовольным строительством, п. 8</dc:title>
  <dc:subject/>
  <dc:creator>CasusLegal</dc:creator>
  <cp:keywords/>
  <dc:description/>
  <cp:lastModifiedBy>CasusLegal</cp:lastModifiedBy>
  <cp:revision>1</cp:revision>
  <dcterms:created xsi:type="dcterms:W3CDTF">2026-07-21T21:03:24Z</dcterms:created>
  <dcterms:modified xsi:type="dcterms:W3CDTF">2026-07-21T21:03:24Z</dcterms:modified>
  <cp:category/>
</cp:coreProperties>
</file>