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drawing>
          <wp:inline xmlns:a="http://schemas.openxmlformats.org/drawingml/2006/main" xmlns:pic="http://schemas.openxmlformats.org/drawingml/2006/picture">
            <wp:extent cx="152400" cy="15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CLCluadeLogo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/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rFonts w:ascii="Cormorant Garamond" w:hAnsi="Cormorant Garamond"/>
          <w:b/>
          <w:color w:val="B63A26"/>
          <w:sz w:val="36"/>
        </w:rPr>
        <w:t>Casus</w:t>
      </w:r>
      <w:r>
        <w:rPr>
          <w:rFonts w:ascii="Cormorant Garamond" w:hAnsi="Cormorant Garamond"/>
          <w:b/>
          <w:color w:val="655D50"/>
          <w:sz w:val="36"/>
        </w:rPr>
        <w:t>Legal</w:t>
      </w:r>
    </w:p>
    <w:p>
      <w:pPr>
        <w:spacing w:before="160" w:after="120"/>
      </w:pPr>
      <w:r>
        <w:rPr>
          <w:rFonts w:ascii="Cormorant Garamond" w:hAnsi="Cormorant Garamond"/>
          <w:b/>
          <w:color w:val="3F3931"/>
          <w:sz w:val="28"/>
        </w:rPr>
        <w:t>Тематический обзор Верховного Суда Российской Федерации № 13/2026. О судебной практике по делам, связанным с самовольным строительством, п. 7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Суд: </w:t>
      </w:r>
      <w:r>
        <w:rPr>
          <w:rFonts w:ascii="Inter" w:hAnsi="Inter"/>
          <w:color w:val="655D50"/>
          <w:sz w:val="18"/>
        </w:rPr>
        <w:t>Верховный Суд РФ (Президиум, обзор)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Дата: </w:t>
      </w:r>
      <w:r>
        <w:rPr>
          <w:rFonts w:ascii="Inter" w:hAnsi="Inter"/>
          <w:color w:val="655D50"/>
          <w:sz w:val="18"/>
        </w:rPr>
        <w:t>01.07.2026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Номер дела: </w:t>
      </w:r>
      <w:r>
        <w:rPr>
          <w:rFonts w:ascii="Inter" w:hAnsi="Inter"/>
          <w:color w:val="655D50"/>
          <w:sz w:val="18"/>
        </w:rPr>
        <w:t>16А/2026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Применённые нормы: </w:t>
      </w:r>
      <w:r>
        <w:rPr>
          <w:rFonts w:ascii="Inter" w:hAnsi="Inter"/>
          <w:color w:val="655D50"/>
          <w:sz w:val="18"/>
        </w:rPr>
        <w:t>ст. 222 ГК РФ, ст. 45 Федерального закона от 08.02.1998 № 14-ФЗ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Теги: </w:t>
      </w:r>
      <w:r>
        <w:rPr>
          <w:rFonts w:ascii="Inter" w:hAnsi="Inter"/>
          <w:color w:val="655D50"/>
          <w:sz w:val="18"/>
        </w:rPr>
        <w:t>самовольная постройка, перенаем, недействительность сделки, корпоративный спор, заинтересованность в сделке, разрешение на строительство, объект незавершенного строительства</w:t>
      </w:r>
    </w:p>
    <w:p>
      <w:pPr>
        <w:spacing w:before="280" w:after="80"/>
      </w:pPr>
      <w:r>
        <w:rPr>
          <w:rFonts w:ascii="Cormorant Garamond" w:hAnsi="Cormorant Garamond"/>
          <w:b/>
          <w:color w:val="B63A26"/>
          <w:sz w:val="28"/>
        </w:rPr>
        <w:t>Позиция суда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Признание соглашения о передаче арендатором прав и обязанностей по договору аренды недействительным не влечет квалификацию постройки, возведенной новым арендатором, как самовольной при отсутствии нарушений при строительстве. Общество и уполномоченный орган заключили договор аренды земельного участка для строительства деревообрабатывающего предприятия. В дальнейшем общество передало права и обязанности арендатора по указанному договору компании, которая возвела объект незавершенного строительства со степенью готовности 74 % и зарегистрировала право собственности на него. Впоследствии соглашение о передаче прав и обязанностей по договору аренды признано недействительным, как заключенное в нарушение требований статьи    45     Федерального     закона    от    8     февраля  1998     г. № 14-ФЗ «Об обществах с ограниченной ответственностью». Общество, ссылаясь на недействительность соглашения и прекращение уполномоченным органом действия разрешения на строительство, обратилось в суд с требованием к компании о признании объекта незавершенного строительства самовольной постройкой. Суд первой инстанции решением, оставленным без изменения судами апелляционной и кассационной инстанций, в удовлетворении требования общества отказал. Суды установили, что спорный объект создан и учтен в качестве объекта недвижимости на земельном участке, предоставленном для целей строительства в соответствии с договором аренды, на основании разрешения на строительство, выданного администрацией города. Согласно заключению судебной строительно-технической экспертизы характеристики спорного строения соответствуют сведениям ЕГРН, на дату проведения обследования сооружение является объектом незавершенного строительства, находится в границах земельного участка, имеет неразрывную связь с ним, является объектом капитального строительства. В рамках экспертизы также установлено, что объект находится в границах земельного участка, отнесенного к землям населенных пунктов, с видом разрешенного использования «для строительства деревообрабатывающего предприятия». Планируемое (проектное) функциональное назначение объекта соответствует виду разрешенного использования земельного участка и не противоречит правилам землепользования и застройки муниципального образования в части своего размещения в границах территориальной зоны − производственная зона, допускающей размещение объектов, выпускающих изделия, предназначенные для строительной промышленности. Доказательства, подтверждающие несоответствие объекта требованиям градостроительных и строительных норм и правил, не представлены. На обстоятельства, свидетельствующие о создании объектом угрозы жизни и здоровью граждан, общество в обоснование иска не ссылалось, соответствующих доказательств также не представило. На момент создания объекта незавершенного строительства разрешение на строительство было действующим, строительство и регистрация права собственности на спорный объект компанией осуществлены до признания соглашения о передаче прав и обязанностей по договору аренды недействительным. Заключенная между сторонами сделка оспаривалась по корпоративным основаниям (в связи с наличием заинтересованности). С учетом установленных обстоятельств суды пришли к выводу о недоказанности обществом наличия у спорного объекта предусмотренных пунктом 1 статьи 222 ГК РФ признаков самовольной постройки на дату его создания.</w:t>
      </w:r>
    </w:p>
    <w:p>
      <w:pPr>
        <w:spacing w:before="280" w:after="80"/>
      </w:pPr>
      <w:r>
        <w:rPr>
          <w:rFonts w:ascii="Cormorant Garamond" w:hAnsi="Cormorant Garamond"/>
          <w:b/>
          <w:color w:val="B63A26"/>
          <w:sz w:val="28"/>
        </w:rPr>
        <w:t>Иные положения акта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"Тематический обзор Верховного Суда Российской Федерации № 13/2026. О судебной практике по делам, связанным с самовольным строительством", п. 7</w:t>
      </w:r>
    </w:p>
    <w:p>
      <w:pPr>
        <w:spacing w:before="360"/>
      </w:pPr>
      <w:r>
        <w:rPr>
          <w:rFonts w:ascii="Inter" w:hAnsi="Inter"/>
          <w:i/>
          <w:color w:val="8B8171"/>
          <w:sz w:val="15"/>
        </w:rPr>
        <w:t>Документ сформирован сервисом CasusLegal на основе официального текста судебного акта. Для использования в процессуальных целях сверяйтесь с официальными источниками опубликования.</w:t>
      </w:r>
    </w:p>
    <w:sectPr w:rsidR="00FC693F" w:rsidRPr="0006063C" w:rsidSect="00034616">
      <w:footerReference w:type="default" r:id="rId10"/>
      <w:pgSz w:w="12240" w:h="15840"/>
      <w:pgMar w:top="1157" w:right="1134" w:bottom="1157" w:left="158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tabs>
        <w:tab w:pos="4762" w:val="center"/>
        <w:tab w:pos="9524" w:val="right"/>
      </w:tabs>
      <w:jc w:val="left"/>
    </w:pPr>
    <w:r>
      <w:tab/>
    </w:r>
    <w:hyperlink r:id="rId1">
      <w:r>
        <w:rPr>
          <w:rFonts w:ascii="Inter" w:hAnsi="Inter"/>
          <w:color w:val="B63A26"/>
          <w:sz w:val="16"/>
        </w:rPr>
        <w:t>@CasusLegalBot</w:t>
      </w:r>
    </w:hyperlink>
    <w:r>
      <w:tab/>
    </w:r>
    <w:r>
      <w:rPr>
        <w:rFonts w:ascii="Inter" w:hAnsi="Inter"/>
        <w:color w:val="8B8171"/>
        <w:sz w:val="24"/>
      </w:rPr>
      <w:fldChar w:fldCharType="begin"/>
      <w:instrText xml:space="preserve">PAGE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Inter" w:hAnsi="Inter"/>
      <w:color w:val="655D50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footer" Target="footer1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hyperlink" Target="https://t.me/CasusLegalB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CasusLegal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CasusLegal</Company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Тематический обзор Верховного Суда Российской Федерации № 13/2026. О судебной практике по делам, связанным с самовольным строительством, п. 7</dc:title>
  <dc:subject/>
  <dc:creator>CasusLegal</dc:creator>
  <cp:keywords/>
  <dc:description/>
  <cp:lastModifiedBy>CasusLegal</cp:lastModifiedBy>
  <cp:revision>1</cp:revision>
  <dcterms:created xsi:type="dcterms:W3CDTF">2026-07-21T21:45:15Z</dcterms:created>
  <dcterms:modified xsi:type="dcterms:W3CDTF">2026-07-21T21:45:15Z</dcterms:modified>
  <cp:category/>
</cp:coreProperties>
</file>