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2</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38 Федерального закона № 137-ФЗ, ст. 37 Федерального закона № 137-ФЗ</w:t>
      </w:r>
    </w:p>
    <w:p>
      <w:pPr>
        <w:spacing w:after="40"/>
      </w:pPr>
      <w:r>
        <w:rPr>
          <w:rFonts w:ascii="Inter" w:hAnsi="Inter"/>
          <w:b/>
          <w:color w:val="8B8171"/>
          <w:sz w:val="18"/>
        </w:rPr>
        <w:t xml:space="preserve">Теги: </w:t>
      </w:r>
      <w:r>
        <w:rPr>
          <w:rFonts w:ascii="Inter" w:hAnsi="Inter"/>
          <w:color w:val="655D50"/>
          <w:sz w:val="18"/>
        </w:rPr>
        <w:t>самовольная постройка, снос жилого дома, легализация земельного участка, дачная амнистия, бесплатное предоставление земельного участка, жилой дом до 1998 года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о сносе жилого дома, построенного до 14 мая 1998 г., на основании того, что он возведен на земельном участке, не предоставленном для целей строительства, не подлежит удовлетворению, если будут установлены возможность оформления гражданином прав на данный участок в предусмотренном законом порядке и отсутствие допущенных при строительстве нарушений. Департамент муниципального имущества и земельных отношений администрации города обратился в суд с требованиями к гражданину о сносе самовольного строения – жилого дома, расположенного на земельном участке, который в установленном законом порядке не предоставлялся для целей строительства. Решением суда первой инстанции, оставленным без изменения апелляционным определением, в удовлетворении требований отказано исходя из следующего. В соответствии с положениями пункта 2 статьи 38 Федерального закона № 137-ФЗ до 1 марта 2031 г. гражданин, который использует для постоянного проживания возведенный до 14 мая 1998 г. жилой дом,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 Как разъяснено в пункте 17 постановления № 44, если при рассмотрении спора о сносе самовольной постройки, возведенной на земельном участке, не предоставленном ответчику в установленном порядке, судом будут установлены обстоятельства, свидетельствующие о возможности оформления им права на данный земельный участок в порядке, предусмотренном, например, статьями 37, 38 Федерального закона № 137-ФЗ, суд отказывает в иске в связи с отсутствием оснований для признания такой постройки самовольной. Установив, что спорный жилой дом построен в 1991 году в границах населенного пункта, нарушений при строительстве допущено не было, суды пришли к выводам о возможности оформления ответчиком права на земельный участок под жилым домом и об отсутствии оснований для сноса спорного объекта.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2</dc:title>
  <dc:subject/>
  <dc:creator>CasusLegal</dc:creator>
  <cp:keywords/>
  <dc:description/>
  <cp:lastModifiedBy>CasusLegal</cp:lastModifiedBy>
  <cp:revision>1</cp:revision>
  <dcterms:created xsi:type="dcterms:W3CDTF">2026-07-21T21:19:12Z</dcterms:created>
  <dcterms:modified xsi:type="dcterms:W3CDTF">2026-07-21T21:19:12Z</dcterms:modified>
  <cp:category/>
</cp:coreProperties>
</file>